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EA19" w14:textId="7556703E" w:rsidR="00951C09" w:rsidRDefault="0081180C" w:rsidP="00951C09">
      <w:pPr>
        <w:rPr>
          <w:rFonts w:ascii="Times New Roman" w:hAnsi="Times New Roman" w:cs="Times New Roman"/>
          <w:b/>
          <w:sz w:val="28"/>
          <w:szCs w:val="28"/>
          <w:lang w:val="nb-NO"/>
        </w:rPr>
      </w:pPr>
      <w:r>
        <w:rPr>
          <w:rFonts w:ascii="Times New Roman" w:hAnsi="Times New Roman" w:cs="Times New Roman"/>
          <w:b/>
          <w:sz w:val="28"/>
          <w:szCs w:val="28"/>
          <w:lang w:val="nb-NO"/>
        </w:rPr>
        <w:t>E</w:t>
      </w:r>
      <w:r w:rsidR="00951C09">
        <w:rPr>
          <w:rFonts w:ascii="Times New Roman" w:hAnsi="Times New Roman" w:cs="Times New Roman"/>
          <w:b/>
          <w:sz w:val="28"/>
          <w:szCs w:val="28"/>
          <w:lang w:val="nb-NO"/>
        </w:rPr>
        <w:t>ndring</w:t>
      </w:r>
      <w:r>
        <w:rPr>
          <w:rFonts w:ascii="Times New Roman" w:hAnsi="Times New Roman" w:cs="Times New Roman"/>
          <w:b/>
          <w:sz w:val="28"/>
          <w:szCs w:val="28"/>
          <w:lang w:val="nb-NO"/>
        </w:rPr>
        <w:t>er</w:t>
      </w:r>
      <w:r w:rsidR="00951C09">
        <w:rPr>
          <w:rFonts w:ascii="Times New Roman" w:hAnsi="Times New Roman" w:cs="Times New Roman"/>
          <w:b/>
          <w:sz w:val="28"/>
          <w:szCs w:val="28"/>
          <w:lang w:val="nb-NO"/>
        </w:rPr>
        <w:t xml:space="preserve"> i </w:t>
      </w:r>
      <w:proofErr w:type="spellStart"/>
      <w:r w:rsidR="00951C09">
        <w:rPr>
          <w:rFonts w:ascii="Times New Roman" w:hAnsi="Times New Roman" w:cs="Times New Roman"/>
          <w:b/>
          <w:sz w:val="28"/>
          <w:szCs w:val="28"/>
          <w:lang w:val="nb-NO"/>
        </w:rPr>
        <w:t>NT</w:t>
      </w:r>
      <w:r w:rsidR="004F18F7">
        <w:rPr>
          <w:rFonts w:ascii="Times New Roman" w:hAnsi="Times New Roman" w:cs="Times New Roman"/>
          <w:b/>
          <w:sz w:val="28"/>
          <w:szCs w:val="28"/>
          <w:lang w:val="nb-NO"/>
        </w:rPr>
        <w:t>P</w:t>
      </w:r>
      <w:r w:rsidR="00951C09">
        <w:rPr>
          <w:rFonts w:ascii="Times New Roman" w:hAnsi="Times New Roman" w:cs="Times New Roman"/>
          <w:b/>
          <w:sz w:val="28"/>
          <w:szCs w:val="28"/>
          <w:lang w:val="nb-NO"/>
        </w:rPr>
        <w:t>Fs</w:t>
      </w:r>
      <w:proofErr w:type="spellEnd"/>
      <w:r w:rsidR="00951C09">
        <w:rPr>
          <w:rFonts w:ascii="Times New Roman" w:hAnsi="Times New Roman" w:cs="Times New Roman"/>
          <w:b/>
          <w:sz w:val="28"/>
          <w:szCs w:val="28"/>
          <w:lang w:val="nb-NO"/>
        </w:rPr>
        <w:t xml:space="preserve"> turneringsreglement 1.</w:t>
      </w:r>
      <w:r w:rsidR="00441EC7">
        <w:rPr>
          <w:rFonts w:ascii="Times New Roman" w:hAnsi="Times New Roman" w:cs="Times New Roman"/>
          <w:b/>
          <w:sz w:val="28"/>
          <w:szCs w:val="28"/>
          <w:lang w:val="nb-NO"/>
        </w:rPr>
        <w:t>januar 2024</w:t>
      </w:r>
    </w:p>
    <w:p w14:paraId="4AD54DB3" w14:textId="71BB57EB" w:rsidR="00D721DF" w:rsidRDefault="00D721DF" w:rsidP="00951C09">
      <w:pPr>
        <w:rPr>
          <w:rFonts w:ascii="Times New Roman" w:hAnsi="Times New Roman" w:cs="Times New Roman"/>
          <w:b/>
          <w:sz w:val="28"/>
          <w:szCs w:val="28"/>
          <w:lang w:val="nb-NO"/>
        </w:rPr>
      </w:pPr>
      <w:r>
        <w:rPr>
          <w:rFonts w:ascii="Times New Roman" w:hAnsi="Times New Roman" w:cs="Times New Roman"/>
          <w:b/>
          <w:sz w:val="28"/>
          <w:szCs w:val="28"/>
          <w:lang w:val="nb-NO"/>
        </w:rPr>
        <w:t>Paragraf 1-65</w:t>
      </w:r>
    </w:p>
    <w:p w14:paraId="188EC236" w14:textId="73187D26" w:rsidR="00295294" w:rsidRPr="00951C09" w:rsidRDefault="0081180C">
      <w:pPr>
        <w:rPr>
          <w:rFonts w:ascii="Times New Roman" w:eastAsia="Times New Roman" w:hAnsi="Times New Roman" w:cs="Times New Roman"/>
          <w:b/>
          <w:color w:val="FF0000"/>
          <w:sz w:val="28"/>
          <w:szCs w:val="28"/>
          <w:lang w:val="nb-NO"/>
        </w:rPr>
      </w:pPr>
      <w:r>
        <w:rPr>
          <w:rFonts w:ascii="Times New Roman" w:eastAsia="Times New Roman" w:hAnsi="Times New Roman" w:cs="Times New Roman"/>
          <w:b/>
          <w:color w:val="FF0000"/>
          <w:sz w:val="28"/>
          <w:szCs w:val="28"/>
          <w:lang w:val="nb-NO"/>
        </w:rPr>
        <w:t>E</w:t>
      </w:r>
      <w:r w:rsidR="00951C09" w:rsidRPr="00FA7389">
        <w:rPr>
          <w:rFonts w:ascii="Times New Roman" w:eastAsia="Times New Roman" w:hAnsi="Times New Roman" w:cs="Times New Roman"/>
          <w:b/>
          <w:color w:val="FF0000"/>
          <w:sz w:val="28"/>
          <w:szCs w:val="28"/>
          <w:lang w:val="nb-NO"/>
        </w:rPr>
        <w:t>ndringer markert i rødt.</w:t>
      </w:r>
    </w:p>
    <w:p w14:paraId="680307AB" w14:textId="77777777" w:rsidR="006F79A6" w:rsidRDefault="006F79A6" w:rsidP="00571DF6">
      <w:pPr>
        <w:pStyle w:val="Overskrift2"/>
        <w:rPr>
          <w:rFonts w:ascii="Times New Roman" w:eastAsia="Times New Roman" w:hAnsi="Times New Roman" w:cs="Times New Roman"/>
          <w:lang w:val="nb-NO"/>
        </w:rPr>
      </w:pPr>
      <w:bookmarkStart w:id="0" w:name="_Toc473392354"/>
    </w:p>
    <w:p w14:paraId="4AA8CB34" w14:textId="196F9064" w:rsidR="00571DF6" w:rsidRPr="00BA3C3D" w:rsidRDefault="00571DF6" w:rsidP="00571DF6">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17</w:t>
      </w:r>
      <w:r w:rsidRPr="00BA3C3D">
        <w:rPr>
          <w:rFonts w:ascii="Times New Roman" w:eastAsia="Times New Roman" w:hAnsi="Times New Roman" w:cs="Times New Roman"/>
          <w:lang w:val="nb-NO"/>
        </w:rPr>
        <w:tab/>
        <w:t>Godkjenning av ikke påmeldte spillere</w:t>
      </w:r>
      <w:bookmarkEnd w:id="0"/>
    </w:p>
    <w:p w14:paraId="48885CFC" w14:textId="77777777" w:rsidR="00571DF6" w:rsidRPr="00BA3C3D" w:rsidRDefault="00571DF6" w:rsidP="00571DF6">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Turneringsledelsen kan tillate en spiller som ikke har vært tatt med ved trekningen, å spille istedenfor en deltaker som har meldt forfall før vedkommende klasse i turneringen er påbegynt. Spilleren kan i disse tilfellene ikke være høyere </w:t>
      </w:r>
      <w:r w:rsidRPr="001A64CD">
        <w:rPr>
          <w:rFonts w:ascii="Times New Roman" w:eastAsia="Times New Roman" w:hAnsi="Times New Roman" w:cs="Times New Roman"/>
          <w:color w:val="404040" w:themeColor="text1" w:themeTint="BF"/>
          <w:sz w:val="24"/>
          <w:szCs w:val="24"/>
          <w:lang w:val="nb-NO"/>
        </w:rPr>
        <w:t>rangert</w:t>
      </w:r>
      <w:r w:rsidRPr="00CF5D57">
        <w:rPr>
          <w:rFonts w:ascii="Times New Roman" w:eastAsia="Times New Roman" w:hAnsi="Times New Roman" w:cs="Times New Roman"/>
          <w:color w:val="FF0000"/>
          <w:sz w:val="24"/>
          <w:szCs w:val="24"/>
          <w:lang w:val="nb-NO"/>
        </w:rPr>
        <w:t xml:space="preserve"> </w:t>
      </w:r>
      <w:r w:rsidRPr="00BA3C3D">
        <w:rPr>
          <w:rFonts w:ascii="Times New Roman" w:eastAsia="Times New Roman" w:hAnsi="Times New Roman" w:cs="Times New Roman"/>
          <w:color w:val="444444"/>
          <w:sz w:val="24"/>
          <w:szCs w:val="24"/>
          <w:lang w:val="nb-NO"/>
        </w:rPr>
        <w:t xml:space="preserve">enn lavest </w:t>
      </w:r>
      <w:r w:rsidRPr="001A64CD">
        <w:rPr>
          <w:rFonts w:ascii="Times New Roman" w:eastAsia="Times New Roman" w:hAnsi="Times New Roman" w:cs="Times New Roman"/>
          <w:color w:val="404040" w:themeColor="text1" w:themeTint="BF"/>
          <w:sz w:val="24"/>
          <w:szCs w:val="24"/>
          <w:lang w:val="nb-NO"/>
        </w:rPr>
        <w:t>rangerte</w:t>
      </w:r>
      <w:r w:rsidRPr="00BA3C3D">
        <w:rPr>
          <w:rFonts w:ascii="Times New Roman" w:eastAsia="Times New Roman" w:hAnsi="Times New Roman" w:cs="Times New Roman"/>
          <w:color w:val="444444"/>
          <w:sz w:val="24"/>
          <w:szCs w:val="24"/>
          <w:lang w:val="nb-NO"/>
        </w:rPr>
        <w:t xml:space="preserve"> seedete spiller. </w:t>
      </w:r>
    </w:p>
    <w:p w14:paraId="51038988" w14:textId="662AF7C1" w:rsidR="00046B4B" w:rsidRPr="006F79A6" w:rsidRDefault="00571DF6" w:rsidP="00571DF6">
      <w:pPr>
        <w:spacing w:before="100" w:beforeAutospacing="1" w:after="100" w:afterAutospacing="1" w:line="240" w:lineRule="auto"/>
        <w:rPr>
          <w:rFonts w:ascii="Times New Roman" w:eastAsia="Times New Roman" w:hAnsi="Times New Roman" w:cs="Times New Roman"/>
          <w:color w:val="FF0000"/>
          <w:sz w:val="24"/>
          <w:szCs w:val="24"/>
          <w:lang w:val="nb-NO"/>
        </w:rPr>
      </w:pPr>
      <w:r w:rsidRPr="00BA3C3D">
        <w:rPr>
          <w:rFonts w:ascii="Times New Roman" w:eastAsia="Times New Roman" w:hAnsi="Times New Roman" w:cs="Times New Roman"/>
          <w:color w:val="444444"/>
          <w:sz w:val="24"/>
          <w:szCs w:val="24"/>
          <w:lang w:val="nb-NO"/>
        </w:rPr>
        <w:t>Adgangen til å sette inn en ny spiller etter første ledd gjelder ikke turneringer i kategori 1. I kat</w:t>
      </w:r>
      <w:r>
        <w:rPr>
          <w:rFonts w:ascii="Times New Roman" w:eastAsia="Times New Roman" w:hAnsi="Times New Roman" w:cs="Times New Roman"/>
          <w:color w:val="444444"/>
          <w:sz w:val="24"/>
          <w:szCs w:val="24"/>
          <w:lang w:val="nb-NO"/>
        </w:rPr>
        <w:t>e</w:t>
      </w:r>
      <w:r w:rsidRPr="00BA3C3D">
        <w:rPr>
          <w:rFonts w:ascii="Times New Roman" w:eastAsia="Times New Roman" w:hAnsi="Times New Roman" w:cs="Times New Roman"/>
          <w:color w:val="444444"/>
          <w:sz w:val="24"/>
          <w:szCs w:val="24"/>
          <w:lang w:val="nb-NO"/>
        </w:rPr>
        <w:t xml:space="preserve">gori 2 turneringer gjelder adgangen til å sette inn en ny spiller bare i </w:t>
      </w:r>
      <w:r w:rsidR="00B80D0E">
        <w:rPr>
          <w:rFonts w:ascii="Times New Roman" w:eastAsia="Times New Roman" w:hAnsi="Times New Roman" w:cs="Times New Roman"/>
          <w:color w:val="444444"/>
          <w:sz w:val="24"/>
          <w:szCs w:val="24"/>
          <w:lang w:val="nb-NO"/>
        </w:rPr>
        <w:t>M</w:t>
      </w:r>
      <w:r w:rsidRPr="00BA3C3D">
        <w:rPr>
          <w:rFonts w:ascii="Times New Roman" w:eastAsia="Times New Roman" w:hAnsi="Times New Roman" w:cs="Times New Roman"/>
          <w:color w:val="444444"/>
          <w:sz w:val="24"/>
          <w:szCs w:val="24"/>
          <w:lang w:val="nb-NO"/>
        </w:rPr>
        <w:t xml:space="preserve">asters, </w:t>
      </w:r>
      <w:r w:rsidR="00B80D0E">
        <w:rPr>
          <w:rFonts w:ascii="Times New Roman" w:eastAsia="Times New Roman" w:hAnsi="Times New Roman" w:cs="Times New Roman"/>
          <w:color w:val="444444"/>
          <w:sz w:val="24"/>
          <w:szCs w:val="24"/>
          <w:lang w:val="nb-NO"/>
        </w:rPr>
        <w:t>N</w:t>
      </w:r>
      <w:r w:rsidRPr="00BA3C3D">
        <w:rPr>
          <w:rFonts w:ascii="Times New Roman" w:eastAsia="Times New Roman" w:hAnsi="Times New Roman" w:cs="Times New Roman"/>
          <w:color w:val="444444"/>
          <w:sz w:val="24"/>
          <w:szCs w:val="24"/>
          <w:lang w:val="nb-NO"/>
        </w:rPr>
        <w:t>orgescuper laveste nivå</w:t>
      </w:r>
      <w:r w:rsidR="00B95868">
        <w:rPr>
          <w:rFonts w:ascii="Times New Roman" w:eastAsia="Times New Roman" w:hAnsi="Times New Roman" w:cs="Times New Roman"/>
          <w:color w:val="444444"/>
          <w:sz w:val="24"/>
          <w:szCs w:val="24"/>
          <w:lang w:val="nb-NO"/>
        </w:rPr>
        <w:t xml:space="preserve">, </w:t>
      </w:r>
      <w:commentRangeStart w:id="1"/>
      <w:r w:rsidR="00B95868" w:rsidRPr="00B95868">
        <w:rPr>
          <w:rFonts w:ascii="Times New Roman" w:eastAsia="Times New Roman" w:hAnsi="Times New Roman" w:cs="Times New Roman"/>
          <w:color w:val="FF0000"/>
          <w:sz w:val="24"/>
          <w:szCs w:val="24"/>
          <w:lang w:val="nb-NO"/>
        </w:rPr>
        <w:t xml:space="preserve">Grand Prix kvalifisering </w:t>
      </w:r>
      <w:commentRangeEnd w:id="1"/>
      <w:r w:rsidR="00A12B2B">
        <w:rPr>
          <w:rStyle w:val="Merknadsreferanse"/>
        </w:rPr>
        <w:commentReference w:id="1"/>
      </w:r>
      <w:r w:rsidRPr="00BA3C3D">
        <w:rPr>
          <w:rFonts w:ascii="Times New Roman" w:eastAsia="Times New Roman" w:hAnsi="Times New Roman" w:cs="Times New Roman"/>
          <w:color w:val="444444"/>
          <w:sz w:val="24"/>
          <w:szCs w:val="24"/>
          <w:lang w:val="nb-NO"/>
        </w:rPr>
        <w:t xml:space="preserve">og seniorturneringene klasse </w:t>
      </w:r>
      <w:commentRangeStart w:id="2"/>
      <w:r w:rsidRPr="00B80D0E">
        <w:rPr>
          <w:rFonts w:ascii="Times New Roman" w:eastAsia="Times New Roman" w:hAnsi="Times New Roman" w:cs="Times New Roman"/>
          <w:strike/>
          <w:color w:val="FF0000"/>
          <w:sz w:val="24"/>
          <w:szCs w:val="24"/>
          <w:lang w:val="nb-NO"/>
        </w:rPr>
        <w:t>A – B – C.</w:t>
      </w:r>
      <w:r w:rsidRPr="00B80D0E">
        <w:rPr>
          <w:rFonts w:ascii="Times New Roman" w:eastAsia="Times New Roman" w:hAnsi="Times New Roman" w:cs="Times New Roman"/>
          <w:color w:val="FF0000"/>
          <w:sz w:val="24"/>
          <w:szCs w:val="24"/>
          <w:lang w:val="nb-NO"/>
        </w:rPr>
        <w:t xml:space="preserve"> </w:t>
      </w:r>
      <w:r w:rsidR="006571A4" w:rsidRPr="006571A4">
        <w:rPr>
          <w:rFonts w:ascii="Times New Roman" w:eastAsia="Times New Roman" w:hAnsi="Times New Roman" w:cs="Times New Roman"/>
          <w:color w:val="FF0000"/>
          <w:sz w:val="24"/>
          <w:szCs w:val="24"/>
          <w:lang w:val="nb-NO"/>
        </w:rPr>
        <w:t xml:space="preserve">Nivåbasert, Gold, Silver og </w:t>
      </w:r>
      <w:proofErr w:type="spellStart"/>
      <w:r w:rsidR="006571A4" w:rsidRPr="006571A4">
        <w:rPr>
          <w:rFonts w:ascii="Times New Roman" w:eastAsia="Times New Roman" w:hAnsi="Times New Roman" w:cs="Times New Roman"/>
          <w:color w:val="FF0000"/>
          <w:sz w:val="24"/>
          <w:szCs w:val="24"/>
          <w:lang w:val="nb-NO"/>
        </w:rPr>
        <w:t>Bronze</w:t>
      </w:r>
      <w:proofErr w:type="spellEnd"/>
      <w:r w:rsidR="006571A4" w:rsidRPr="006571A4">
        <w:rPr>
          <w:rFonts w:ascii="Times New Roman" w:eastAsia="Times New Roman" w:hAnsi="Times New Roman" w:cs="Times New Roman"/>
          <w:color w:val="FF0000"/>
          <w:sz w:val="24"/>
          <w:szCs w:val="24"/>
          <w:lang w:val="nb-NO"/>
        </w:rPr>
        <w:t>.</w:t>
      </w:r>
      <w:commentRangeEnd w:id="2"/>
      <w:r w:rsidR="00D65794">
        <w:rPr>
          <w:rStyle w:val="Merknadsreferanse"/>
        </w:rPr>
        <w:commentReference w:id="2"/>
      </w:r>
    </w:p>
    <w:p w14:paraId="529DEA23" w14:textId="77777777" w:rsidR="006F79A6" w:rsidRDefault="006F79A6" w:rsidP="00D13516">
      <w:pPr>
        <w:pStyle w:val="Overskrift2"/>
        <w:rPr>
          <w:rFonts w:ascii="Times New Roman" w:eastAsia="Times New Roman" w:hAnsi="Times New Roman" w:cs="Times New Roman"/>
          <w:lang w:val="nb-NO"/>
        </w:rPr>
      </w:pPr>
    </w:p>
    <w:p w14:paraId="330883FB" w14:textId="574A25ED" w:rsidR="00D13516" w:rsidRPr="00BA3C3D" w:rsidRDefault="00D13516" w:rsidP="00D13516">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19</w:t>
      </w:r>
      <w:r w:rsidRPr="00BA3C3D">
        <w:rPr>
          <w:rFonts w:ascii="Times New Roman" w:eastAsia="Times New Roman" w:hAnsi="Times New Roman" w:cs="Times New Roman"/>
          <w:lang w:val="nb-NO"/>
        </w:rPr>
        <w:tab/>
        <w:t>Seeding og plassering av seedede spillere i tablå og puljer</w:t>
      </w:r>
    </w:p>
    <w:p w14:paraId="68BBF1FF" w14:textId="77777777" w:rsidR="00D13516" w:rsidRPr="00BA3C3D" w:rsidRDefault="00D13516" w:rsidP="00D13516">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For å hindre at de høyest </w:t>
      </w:r>
      <w:r w:rsidRPr="001A64CD">
        <w:rPr>
          <w:rFonts w:ascii="Times New Roman" w:eastAsia="Times New Roman" w:hAnsi="Times New Roman" w:cs="Times New Roman"/>
          <w:color w:val="404040" w:themeColor="text1" w:themeTint="BF"/>
          <w:sz w:val="24"/>
          <w:szCs w:val="24"/>
          <w:lang w:val="nb-NO"/>
        </w:rPr>
        <w:t>rangerte</w:t>
      </w:r>
      <w:r w:rsidRPr="00BA3C3D">
        <w:rPr>
          <w:rFonts w:ascii="Times New Roman" w:eastAsia="Times New Roman" w:hAnsi="Times New Roman" w:cs="Times New Roman"/>
          <w:color w:val="444444"/>
          <w:sz w:val="24"/>
          <w:szCs w:val="24"/>
          <w:lang w:val="nb-NO"/>
        </w:rPr>
        <w:t xml:space="preserve"> spillerne i en turnering møtes i de innledende runder, skal spillere seedes etter reglene i denne bestemmelsen og vedlegg nr. 1-9. </w:t>
      </w:r>
    </w:p>
    <w:p w14:paraId="0D3FBE39" w14:textId="77777777" w:rsidR="00D13516" w:rsidRPr="00BA3C3D" w:rsidRDefault="00D13516" w:rsidP="00D13516">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Seeding av spillere i individuelle norgesmesterskap gjøres av NTF. Norske Tennisveteraner (NTV) seeder spillere i NM for veteraner. Dersom seedingen avviker fra siste offisielle rankingliste, skal avviket begrunnes. </w:t>
      </w:r>
    </w:p>
    <w:p w14:paraId="7D8DA83A" w14:textId="6E3DA54A" w:rsidR="006F79A6" w:rsidRPr="006F79A6" w:rsidRDefault="00D13516" w:rsidP="006F79A6">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Seeding i turneringer i kategori 2, 3 og 4 skal følge siste offisielle rankingliste. Etter godkjenning fra NTF kan seedingen likevel avvike fra siste offisielle norske rankingliste for utenlandske spillere og for norske spillere som har få norske rankingpoeng fordi spilleren har deltatt i få turneringer som kan gi norske rankingpoeng.  Avviket fra siste norske offisielle rankingliste skal begrunnes. </w:t>
      </w:r>
      <w:commentRangeStart w:id="3"/>
      <w:r w:rsidRPr="000B562C">
        <w:rPr>
          <w:rFonts w:ascii="Times New Roman" w:eastAsia="Times New Roman" w:hAnsi="Times New Roman" w:cs="Times New Roman"/>
          <w:strike/>
          <w:color w:val="FF0000"/>
          <w:sz w:val="24"/>
          <w:szCs w:val="24"/>
          <w:lang w:val="nb-NO"/>
        </w:rPr>
        <w:t>I aldersklassene U10 skal det ikke seedes. I aldersklassen U12 skal det bare seedes i landsturneringen. Seedingen i landsturneringen gjøres av NTF.</w:t>
      </w:r>
      <w:r w:rsidR="008F19F6">
        <w:rPr>
          <w:rFonts w:ascii="Times New Roman" w:eastAsia="Times New Roman" w:hAnsi="Times New Roman" w:cs="Times New Roman"/>
          <w:color w:val="FF0000"/>
          <w:sz w:val="24"/>
          <w:szCs w:val="24"/>
          <w:lang w:val="nb-NO"/>
        </w:rPr>
        <w:t xml:space="preserve"> I aldersklassene U12 og yngre skal det ikke seedes. </w:t>
      </w:r>
      <w:commentRangeEnd w:id="3"/>
      <w:r w:rsidR="00721D03">
        <w:rPr>
          <w:rStyle w:val="Merknadsreferanse"/>
        </w:rPr>
        <w:commentReference w:id="3"/>
      </w:r>
      <w:r w:rsidRPr="00BA3C3D">
        <w:rPr>
          <w:rFonts w:ascii="Times New Roman" w:eastAsia="Times New Roman" w:hAnsi="Times New Roman" w:cs="Times New Roman"/>
          <w:color w:val="444444"/>
          <w:sz w:val="24"/>
          <w:szCs w:val="24"/>
          <w:lang w:val="nb-NO"/>
        </w:rPr>
        <w:t>I doubleklasser</w:t>
      </w:r>
      <w:r>
        <w:rPr>
          <w:rFonts w:ascii="Times New Roman" w:eastAsia="Times New Roman" w:hAnsi="Times New Roman" w:cs="Times New Roman"/>
          <w:color w:val="444444"/>
          <w:sz w:val="24"/>
          <w:szCs w:val="24"/>
          <w:lang w:val="nb-NO"/>
        </w:rPr>
        <w:t xml:space="preserve"> benyttes egen doubleranking</w:t>
      </w:r>
      <w:r w:rsidRPr="00BA3C3D">
        <w:rPr>
          <w:rFonts w:ascii="Times New Roman" w:eastAsia="Times New Roman" w:hAnsi="Times New Roman" w:cs="Times New Roman"/>
          <w:color w:val="444444"/>
          <w:sz w:val="24"/>
          <w:szCs w:val="24"/>
          <w:lang w:val="nb-NO"/>
        </w:rPr>
        <w:t>.</w:t>
      </w:r>
    </w:p>
    <w:p w14:paraId="31C86D4C" w14:textId="77777777" w:rsidR="00C23CFF" w:rsidRDefault="00C23CFF" w:rsidP="00951C09">
      <w:pPr>
        <w:pStyle w:val="Overskrift2"/>
        <w:rPr>
          <w:rFonts w:ascii="Times New Roman" w:eastAsia="Times New Roman" w:hAnsi="Times New Roman" w:cs="Times New Roman"/>
          <w:lang w:val="nb-NO"/>
        </w:rPr>
      </w:pPr>
      <w:bookmarkStart w:id="4" w:name="_Toc473392388"/>
    </w:p>
    <w:p w14:paraId="34F05975" w14:textId="4DFB03AA" w:rsidR="00951C09" w:rsidRPr="00BA3C3D" w:rsidRDefault="00951C09" w:rsidP="00951C09">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45</w:t>
      </w:r>
      <w:r w:rsidRPr="00BA3C3D">
        <w:rPr>
          <w:rFonts w:ascii="Times New Roman" w:eastAsia="Times New Roman" w:hAnsi="Times New Roman" w:cs="Times New Roman"/>
          <w:lang w:val="nb-NO"/>
        </w:rPr>
        <w:tab/>
        <w:t>Norgesmesterskap i lagtennis</w:t>
      </w:r>
      <w:bookmarkEnd w:id="4"/>
    </w:p>
    <w:p w14:paraId="03A4B7A6" w14:textId="77777777" w:rsidR="00951C09" w:rsidRPr="00BA3C3D" w:rsidRDefault="00951C09" w:rsidP="00951C09">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NTF skal hvert år arrangere norgesmesterskap i lagtennis utendørs for herrer og damer</w:t>
      </w:r>
      <w:r>
        <w:rPr>
          <w:rFonts w:ascii="Times New Roman" w:eastAsia="Times New Roman" w:hAnsi="Times New Roman" w:cs="Times New Roman"/>
          <w:color w:val="444444"/>
          <w:sz w:val="24"/>
          <w:szCs w:val="24"/>
          <w:lang w:val="nb-NO"/>
        </w:rPr>
        <w:t xml:space="preserve"> i perioden fra og med </w:t>
      </w:r>
      <w:r w:rsidRPr="00A51BF8">
        <w:rPr>
          <w:rFonts w:ascii="Times New Roman" w:eastAsia="Times New Roman" w:hAnsi="Times New Roman" w:cs="Times New Roman"/>
          <w:color w:val="404040" w:themeColor="text1" w:themeTint="BF"/>
          <w:sz w:val="24"/>
          <w:szCs w:val="24"/>
          <w:lang w:val="nb-NO"/>
        </w:rPr>
        <w:t>1.mai</w:t>
      </w:r>
      <w:r>
        <w:rPr>
          <w:rFonts w:ascii="Times New Roman" w:eastAsia="Times New Roman" w:hAnsi="Times New Roman" w:cs="Times New Roman"/>
          <w:color w:val="444444"/>
          <w:sz w:val="24"/>
          <w:szCs w:val="24"/>
          <w:lang w:val="nb-NO"/>
        </w:rPr>
        <w:t xml:space="preserve"> </w:t>
      </w:r>
      <w:r w:rsidRPr="00BA3C3D">
        <w:rPr>
          <w:rFonts w:ascii="Times New Roman" w:eastAsia="Times New Roman" w:hAnsi="Times New Roman" w:cs="Times New Roman"/>
          <w:color w:val="444444"/>
          <w:sz w:val="24"/>
          <w:szCs w:val="24"/>
          <w:lang w:val="nb-NO"/>
        </w:rPr>
        <w:t xml:space="preserve">til og med 30. september. Mesterskapet deles opp i en forbundserie og en regionserie. </w:t>
      </w:r>
    </w:p>
    <w:p w14:paraId="6125FC1F" w14:textId="77777777" w:rsidR="00951C09" w:rsidRPr="00BA3C3D" w:rsidRDefault="00951C09" w:rsidP="00951C09">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Forbundsstyret kan bestemme at det i tillegg skal arrangeres norgesmesterskap i lagtennis innendørs i klassene herrer, damer, piker U19 og gutter U19. </w:t>
      </w:r>
    </w:p>
    <w:p w14:paraId="09462089" w14:textId="5CD8D6BF" w:rsidR="00951C09" w:rsidRDefault="00951C09" w:rsidP="00951C09">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lastRenderedPageBreak/>
        <w:t>Forbundsstyret oppnevner en turneringsledelse</w:t>
      </w:r>
      <w:r>
        <w:rPr>
          <w:rFonts w:ascii="Times New Roman" w:eastAsia="Times New Roman" w:hAnsi="Times New Roman" w:cs="Times New Roman"/>
          <w:color w:val="444444"/>
          <w:sz w:val="24"/>
          <w:szCs w:val="24"/>
          <w:lang w:val="nb-NO"/>
        </w:rPr>
        <w:t xml:space="preserve"> </w:t>
      </w:r>
      <w:r w:rsidRPr="00A51BF8">
        <w:rPr>
          <w:rFonts w:ascii="Times New Roman" w:eastAsia="Times New Roman" w:hAnsi="Times New Roman" w:cs="Times New Roman"/>
          <w:color w:val="404040" w:themeColor="text1" w:themeTint="BF"/>
          <w:sz w:val="24"/>
          <w:szCs w:val="24"/>
          <w:lang w:val="nb-NO"/>
        </w:rPr>
        <w:t>og</w:t>
      </w:r>
      <w:r w:rsidRPr="00DC712A">
        <w:rPr>
          <w:rFonts w:ascii="Times New Roman" w:eastAsia="Times New Roman" w:hAnsi="Times New Roman" w:cs="Times New Roman"/>
          <w:color w:val="FF0000"/>
          <w:sz w:val="24"/>
          <w:szCs w:val="24"/>
          <w:lang w:val="nb-NO"/>
        </w:rPr>
        <w:t xml:space="preserve"> </w:t>
      </w:r>
      <w:r w:rsidRPr="00BA3C3D">
        <w:rPr>
          <w:rFonts w:ascii="Times New Roman" w:eastAsia="Times New Roman" w:hAnsi="Times New Roman" w:cs="Times New Roman"/>
          <w:color w:val="444444"/>
          <w:sz w:val="24"/>
          <w:szCs w:val="24"/>
          <w:lang w:val="nb-NO"/>
        </w:rPr>
        <w:t>oppmann for norgesmesterskapene i lagtennis.</w:t>
      </w:r>
    </w:p>
    <w:p w14:paraId="05B35174" w14:textId="68851DE8" w:rsidR="00281DA8" w:rsidRPr="009732EF" w:rsidRDefault="00281DA8" w:rsidP="00951C09">
      <w:pPr>
        <w:spacing w:before="100" w:beforeAutospacing="1" w:after="100" w:afterAutospacing="1" w:line="240" w:lineRule="auto"/>
        <w:rPr>
          <w:rFonts w:ascii="Times New Roman" w:eastAsia="Times New Roman" w:hAnsi="Times New Roman" w:cs="Times New Roman"/>
          <w:color w:val="FF0000"/>
          <w:sz w:val="24"/>
          <w:szCs w:val="24"/>
          <w:lang w:val="nb-NO"/>
        </w:rPr>
      </w:pPr>
      <w:commentRangeStart w:id="5"/>
      <w:r w:rsidRPr="009732EF">
        <w:rPr>
          <w:rFonts w:ascii="Times New Roman" w:eastAsia="Times New Roman" w:hAnsi="Times New Roman" w:cs="Times New Roman"/>
          <w:color w:val="FF0000"/>
          <w:sz w:val="24"/>
          <w:szCs w:val="24"/>
          <w:lang w:val="nb-NO"/>
        </w:rPr>
        <w:t xml:space="preserve">Det er klubbenes ansvar at spillere som representerer klubben </w:t>
      </w:r>
      <w:r w:rsidR="003D0FEB" w:rsidRPr="009732EF">
        <w:rPr>
          <w:rFonts w:ascii="Times New Roman" w:eastAsia="Times New Roman" w:hAnsi="Times New Roman" w:cs="Times New Roman"/>
          <w:color w:val="FF0000"/>
          <w:sz w:val="24"/>
          <w:szCs w:val="24"/>
          <w:lang w:val="nb-NO"/>
        </w:rPr>
        <w:t xml:space="preserve">innfrir kravene i §4. </w:t>
      </w:r>
      <w:commentRangeEnd w:id="5"/>
      <w:r w:rsidR="009679A1" w:rsidRPr="009732EF">
        <w:rPr>
          <w:rStyle w:val="Merknadsreferanse"/>
          <w:color w:val="FF0000"/>
        </w:rPr>
        <w:commentReference w:id="5"/>
      </w:r>
    </w:p>
    <w:p w14:paraId="02D327F0" w14:textId="77777777" w:rsidR="002E4BA7" w:rsidRDefault="002E4BA7" w:rsidP="002E4BA7">
      <w:pPr>
        <w:pStyle w:val="Overskrift2"/>
        <w:rPr>
          <w:rFonts w:ascii="Times New Roman" w:eastAsia="Times New Roman" w:hAnsi="Times New Roman" w:cs="Times New Roman"/>
          <w:lang w:val="nb-NO"/>
        </w:rPr>
      </w:pPr>
    </w:p>
    <w:p w14:paraId="1027A0E1" w14:textId="6485F9F5" w:rsidR="002E4BA7" w:rsidRPr="00BA3C3D" w:rsidRDefault="002E4BA7" w:rsidP="002E4BA7">
      <w:pPr>
        <w:pStyle w:val="Overskrift2"/>
        <w:rPr>
          <w:rFonts w:ascii="Times New Roman" w:eastAsia="Times New Roman" w:hAnsi="Times New Roman" w:cs="Times New Roman"/>
          <w:lang w:val="nb-NO"/>
        </w:rPr>
      </w:pPr>
      <w:r w:rsidRPr="00BA3C3D">
        <w:rPr>
          <w:rFonts w:ascii="Times New Roman" w:eastAsia="Times New Roman" w:hAnsi="Times New Roman" w:cs="Times New Roman"/>
          <w:lang w:val="nb-NO"/>
        </w:rPr>
        <w:t>§ 60</w:t>
      </w:r>
      <w:r w:rsidRPr="00BA3C3D">
        <w:rPr>
          <w:rFonts w:ascii="Times New Roman" w:eastAsia="Times New Roman" w:hAnsi="Times New Roman" w:cs="Times New Roman"/>
          <w:lang w:val="nb-NO"/>
        </w:rPr>
        <w:tab/>
        <w:t xml:space="preserve">Klubbrepresentasjon og overgang mellom klubber </w:t>
      </w:r>
    </w:p>
    <w:p w14:paraId="5B537E7A" w14:textId="77777777" w:rsidR="002E4BA7" w:rsidRPr="00BA3C3D" w:rsidRDefault="002E4BA7" w:rsidP="002E4BA7">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En spiller kan ikke representere flere klubber samtidig, hvis ikke noe annet følger av regler i dette turneringsreglementet. </w:t>
      </w:r>
    </w:p>
    <w:p w14:paraId="2D27E4A4" w14:textId="77777777" w:rsidR="002E4BA7" w:rsidRPr="00BA3C3D" w:rsidRDefault="002E4BA7" w:rsidP="002E4BA7">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Lisensierte spillere over 13 år som ønsker å representere en ny klubb, må melde representasjonsovergang til NTF på særskilt fastsatt skjema. Kopi skal sendes spillerens region og tidligere klubb.  </w:t>
      </w:r>
    </w:p>
    <w:p w14:paraId="6E7B24A4" w14:textId="77777777" w:rsidR="002E4BA7" w:rsidRPr="00BA3C3D" w:rsidRDefault="002E4BA7" w:rsidP="002E4BA7">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Fristen for å melde overgang er 1. april for overganger som skal gjelde fra påfølgende utendørssesong. Som utendørssesong regnes tidsrommet 1. mai – 30. september. Fristen for å melde overgang er 1. september for overganger som skal gjelde fra påfølgende innendørssesong. Som innendørssesong regnes tidsrommet 1. oktober – 30. april. Fristen for å melde overgang er 1. desember dersom overgangen skal gjelde fra 1. januar. </w:t>
      </w:r>
    </w:p>
    <w:p w14:paraId="0539A935" w14:textId="77777777" w:rsidR="002E4BA7" w:rsidRPr="00BA3C3D" w:rsidRDefault="002E4BA7" w:rsidP="002E4BA7">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En overgang kan trekkes tilbake dersom dette gjøres innen 1 måned etter at den er meldt til NTF og før påfølgende sesong starter. </w:t>
      </w:r>
    </w:p>
    <w:p w14:paraId="101D1306" w14:textId="77777777" w:rsidR="002E4BA7" w:rsidRPr="00BA3C3D" w:rsidRDefault="002E4BA7" w:rsidP="002E4BA7">
      <w:pPr>
        <w:spacing w:before="100" w:beforeAutospacing="1" w:after="100" w:afterAutospacing="1" w:line="240" w:lineRule="auto"/>
        <w:rPr>
          <w:rFonts w:ascii="Times New Roman" w:eastAsia="Times New Roman" w:hAnsi="Times New Roman" w:cs="Times New Roman"/>
          <w:strike/>
          <w:color w:val="444444"/>
          <w:sz w:val="24"/>
          <w:szCs w:val="24"/>
          <w:lang w:val="nb-NO"/>
        </w:rPr>
      </w:pPr>
      <w:r w:rsidRPr="00BA3C3D">
        <w:rPr>
          <w:rFonts w:ascii="Times New Roman" w:eastAsia="Times New Roman" w:hAnsi="Times New Roman" w:cs="Times New Roman"/>
          <w:color w:val="444444"/>
          <w:sz w:val="24"/>
          <w:szCs w:val="24"/>
          <w:lang w:val="nb-NO"/>
        </w:rPr>
        <w:t xml:space="preserve">Dersom spillerens tidligere klubb har innsigelser til overgangen, må den meddele dette innen 14 dager etter at kopi av melding om overgang er mottatt. Innsigelser skal sendes skriftlig til spilleren med kopi til ny klubb og NTF. Dersom tidligere klubb har innsigelser, er overgangen ikke gyldig og spilleren kan ikke representere sin nye klubb før tidligere klubbs samtykke foreligger eller overgangen er brakt inn for voldgift og godkjent av voldgiftsnemnden. Dersom tidligere klubb ikke har meddelt innsigelser innen fristen, er overgangen/representasjonen gyldig. </w:t>
      </w:r>
    </w:p>
    <w:p w14:paraId="466F8C92" w14:textId="77777777" w:rsidR="002E4BA7" w:rsidRPr="00BA3C3D" w:rsidRDefault="002E4BA7" w:rsidP="002E4BA7">
      <w:pPr>
        <w:spacing w:before="100" w:beforeAutospacing="1" w:after="100" w:afterAutospacing="1" w:line="240" w:lineRule="auto"/>
        <w:rPr>
          <w:rFonts w:ascii="Times New Roman" w:eastAsia="Times New Roman" w:hAnsi="Times New Roman" w:cs="Times New Roman"/>
          <w:color w:val="444444"/>
          <w:sz w:val="24"/>
          <w:szCs w:val="24"/>
          <w:lang w:val="nb-NO"/>
        </w:rPr>
      </w:pPr>
      <w:r w:rsidRPr="00BA3C3D">
        <w:rPr>
          <w:rFonts w:ascii="Times New Roman" w:eastAsia="Times New Roman" w:hAnsi="Times New Roman" w:cs="Times New Roman"/>
          <w:color w:val="444444"/>
          <w:sz w:val="24"/>
          <w:szCs w:val="24"/>
          <w:lang w:val="nb-NO"/>
        </w:rPr>
        <w:t xml:space="preserve">Bestemmelsene i denne paragraf er ikke til hinder for at spillere i forbindelse med skolegang, studieopphold </w:t>
      </w:r>
      <w:proofErr w:type="spellStart"/>
      <w:r w:rsidRPr="00BA3C3D">
        <w:rPr>
          <w:rFonts w:ascii="Times New Roman" w:eastAsia="Times New Roman" w:hAnsi="Times New Roman" w:cs="Times New Roman"/>
          <w:color w:val="444444"/>
          <w:sz w:val="24"/>
          <w:szCs w:val="24"/>
          <w:lang w:val="nb-NO"/>
        </w:rPr>
        <w:t>m.v</w:t>
      </w:r>
      <w:proofErr w:type="spellEnd"/>
      <w:r w:rsidRPr="00BA3C3D">
        <w:rPr>
          <w:rFonts w:ascii="Times New Roman" w:eastAsia="Times New Roman" w:hAnsi="Times New Roman" w:cs="Times New Roman"/>
          <w:color w:val="444444"/>
          <w:sz w:val="24"/>
          <w:szCs w:val="24"/>
          <w:lang w:val="nb-NO"/>
        </w:rPr>
        <w:t xml:space="preserve">. kan representere skole eller universitet i individuelle turneringer eller lagkamper. </w:t>
      </w:r>
    </w:p>
    <w:p w14:paraId="40708A24" w14:textId="5DDDF5F1" w:rsidR="002E4BA7" w:rsidRPr="009E3A42" w:rsidRDefault="002E4BA7" w:rsidP="002E4BA7">
      <w:pPr>
        <w:spacing w:before="100" w:beforeAutospacing="1" w:after="100" w:afterAutospacing="1" w:line="240" w:lineRule="auto"/>
        <w:rPr>
          <w:rFonts w:ascii="Times New Roman" w:eastAsia="Times New Roman" w:hAnsi="Times New Roman" w:cs="Times New Roman"/>
          <w:strike/>
          <w:color w:val="444444"/>
          <w:sz w:val="24"/>
          <w:szCs w:val="24"/>
          <w:lang w:val="nb-NO"/>
        </w:rPr>
      </w:pPr>
      <w:r w:rsidRPr="00BA3C3D">
        <w:rPr>
          <w:rFonts w:ascii="Times New Roman" w:eastAsia="Times New Roman" w:hAnsi="Times New Roman" w:cs="Times New Roman"/>
          <w:color w:val="444444"/>
          <w:sz w:val="24"/>
          <w:szCs w:val="24"/>
          <w:lang w:val="nb-NO"/>
        </w:rPr>
        <w:t>En spiller kan representere en annen klubb i norgesmesterskap for lag senior enn sin individuelle representasjonsklubb dersom den klubben han eller hun representerer i individuelle turneringer ikke stiller lag i NM lag senior. Begge berørte klubber må akseptere</w:t>
      </w:r>
      <w:r w:rsidR="00AC026F">
        <w:rPr>
          <w:rFonts w:ascii="Times New Roman" w:eastAsia="Times New Roman" w:hAnsi="Times New Roman" w:cs="Times New Roman"/>
          <w:color w:val="444444"/>
          <w:sz w:val="24"/>
          <w:szCs w:val="24"/>
          <w:lang w:val="nb-NO"/>
        </w:rPr>
        <w:t xml:space="preserve"> </w:t>
      </w:r>
      <w:r w:rsidRPr="00BA3C3D">
        <w:rPr>
          <w:rFonts w:ascii="Times New Roman" w:eastAsia="Times New Roman" w:hAnsi="Times New Roman" w:cs="Times New Roman"/>
          <w:color w:val="444444"/>
          <w:sz w:val="24"/>
          <w:szCs w:val="24"/>
          <w:lang w:val="nb-NO"/>
        </w:rPr>
        <w:t xml:space="preserve">representasjonen og sende skriftlig melding om slik aksept til NTF innen 20. april. </w:t>
      </w:r>
      <w:commentRangeStart w:id="6"/>
      <w:r w:rsidRPr="00D23DE8">
        <w:rPr>
          <w:rFonts w:ascii="Times New Roman" w:eastAsia="Times New Roman" w:hAnsi="Times New Roman" w:cs="Times New Roman"/>
          <w:color w:val="FF0000"/>
          <w:sz w:val="24"/>
          <w:szCs w:val="24"/>
          <w:lang w:val="nb-NO"/>
        </w:rPr>
        <w:t xml:space="preserve">Spilleren må </w:t>
      </w:r>
      <w:r w:rsidRPr="00D23DE8">
        <w:rPr>
          <w:rFonts w:ascii="Times New Roman" w:eastAsia="Times New Roman" w:hAnsi="Times New Roman" w:cs="Times New Roman"/>
          <w:strike/>
          <w:color w:val="FF0000"/>
          <w:sz w:val="24"/>
          <w:szCs w:val="24"/>
          <w:lang w:val="nb-NO"/>
        </w:rPr>
        <w:t>ha vært</w:t>
      </w:r>
      <w:r w:rsidRPr="00D23DE8">
        <w:rPr>
          <w:rFonts w:ascii="Times New Roman" w:eastAsia="Times New Roman" w:hAnsi="Times New Roman" w:cs="Times New Roman"/>
          <w:color w:val="FF0000"/>
          <w:sz w:val="24"/>
          <w:szCs w:val="24"/>
          <w:lang w:val="nb-NO"/>
        </w:rPr>
        <w:t xml:space="preserve"> </w:t>
      </w:r>
      <w:r w:rsidR="009E3A42">
        <w:rPr>
          <w:rFonts w:ascii="Times New Roman" w:eastAsia="Times New Roman" w:hAnsi="Times New Roman" w:cs="Times New Roman"/>
          <w:color w:val="FF0000"/>
          <w:sz w:val="24"/>
          <w:szCs w:val="24"/>
          <w:lang w:val="nb-NO"/>
        </w:rPr>
        <w:t xml:space="preserve">være </w:t>
      </w:r>
      <w:r w:rsidRPr="00D23DE8">
        <w:rPr>
          <w:rFonts w:ascii="Times New Roman" w:eastAsia="Times New Roman" w:hAnsi="Times New Roman" w:cs="Times New Roman"/>
          <w:color w:val="FF0000"/>
          <w:sz w:val="24"/>
          <w:szCs w:val="24"/>
          <w:lang w:val="nb-NO"/>
        </w:rPr>
        <w:t>medlem i lagrepresentasjonsklubben</w:t>
      </w:r>
      <w:r w:rsidR="009E3A42">
        <w:rPr>
          <w:rFonts w:ascii="Times New Roman" w:eastAsia="Times New Roman" w:hAnsi="Times New Roman" w:cs="Times New Roman"/>
          <w:color w:val="FF0000"/>
          <w:sz w:val="24"/>
          <w:szCs w:val="24"/>
          <w:lang w:val="nb-NO"/>
        </w:rPr>
        <w:t>.</w:t>
      </w:r>
      <w:r w:rsidRPr="00D23DE8">
        <w:rPr>
          <w:rFonts w:ascii="Times New Roman" w:eastAsia="Times New Roman" w:hAnsi="Times New Roman" w:cs="Times New Roman"/>
          <w:color w:val="FF0000"/>
          <w:sz w:val="24"/>
          <w:szCs w:val="24"/>
          <w:lang w:val="nb-NO"/>
        </w:rPr>
        <w:t xml:space="preserve"> </w:t>
      </w:r>
      <w:r w:rsidRPr="009E3A42">
        <w:rPr>
          <w:rFonts w:ascii="Times New Roman" w:eastAsia="Times New Roman" w:hAnsi="Times New Roman" w:cs="Times New Roman"/>
          <w:strike/>
          <w:color w:val="FF0000"/>
          <w:sz w:val="24"/>
          <w:szCs w:val="24"/>
          <w:lang w:val="nb-NO"/>
        </w:rPr>
        <w:t>de siste 12 månedene før turneringens start</w:t>
      </w:r>
      <w:commentRangeEnd w:id="6"/>
      <w:r w:rsidR="00AC026F">
        <w:rPr>
          <w:rStyle w:val="Merknadsreferanse"/>
        </w:rPr>
        <w:commentReference w:id="6"/>
      </w:r>
    </w:p>
    <w:p w14:paraId="38705D65" w14:textId="5DB396DB" w:rsidR="002E4BA7" w:rsidRPr="00BA3C3D" w:rsidRDefault="002E4BA7" w:rsidP="002E4BA7">
      <w:pPr>
        <w:spacing w:before="100" w:beforeAutospacing="1" w:after="100" w:afterAutospacing="1" w:line="240" w:lineRule="auto"/>
        <w:rPr>
          <w:rFonts w:ascii="Times New Roman" w:eastAsia="Times New Roman" w:hAnsi="Times New Roman" w:cs="Times New Roman"/>
          <w:color w:val="444444"/>
          <w:sz w:val="24"/>
          <w:szCs w:val="24"/>
          <w:lang w:val="nb-NO"/>
        </w:rPr>
      </w:pPr>
      <w:commentRangeStart w:id="7"/>
      <w:r w:rsidRPr="002C39B2">
        <w:rPr>
          <w:rFonts w:ascii="Times New Roman" w:eastAsia="Times New Roman" w:hAnsi="Times New Roman" w:cs="Times New Roman"/>
          <w:color w:val="FF0000"/>
          <w:sz w:val="24"/>
          <w:szCs w:val="24"/>
          <w:lang w:val="nb-NO"/>
        </w:rPr>
        <w:t xml:space="preserve">Spillere kan representere en annen klubb i lagkamper </w:t>
      </w:r>
      <w:r w:rsidRPr="002C39B2">
        <w:rPr>
          <w:rFonts w:ascii="Times New Roman" w:eastAsia="Times New Roman" w:hAnsi="Times New Roman" w:cs="Times New Roman"/>
          <w:strike/>
          <w:color w:val="FF0000"/>
          <w:sz w:val="24"/>
          <w:szCs w:val="24"/>
          <w:lang w:val="nb-NO"/>
        </w:rPr>
        <w:t>i veteranserien enn sin individuelle representasjonsklubb</w:t>
      </w:r>
      <w:r w:rsidR="00A77A1F" w:rsidRPr="002C39B2">
        <w:rPr>
          <w:rFonts w:ascii="Times New Roman" w:eastAsia="Times New Roman" w:hAnsi="Times New Roman" w:cs="Times New Roman"/>
          <w:color w:val="FF0000"/>
          <w:sz w:val="24"/>
          <w:szCs w:val="24"/>
          <w:lang w:val="nb-NO"/>
        </w:rPr>
        <w:t xml:space="preserve"> i region</w:t>
      </w:r>
      <w:r w:rsidR="00861F54">
        <w:rPr>
          <w:rFonts w:ascii="Times New Roman" w:eastAsia="Times New Roman" w:hAnsi="Times New Roman" w:cs="Times New Roman"/>
          <w:color w:val="FF0000"/>
          <w:sz w:val="24"/>
          <w:szCs w:val="24"/>
          <w:lang w:val="nb-NO"/>
        </w:rPr>
        <w:t>ale serier</w:t>
      </w:r>
      <w:r w:rsidR="00A77A1F" w:rsidRPr="002C39B2">
        <w:rPr>
          <w:rFonts w:ascii="Times New Roman" w:eastAsia="Times New Roman" w:hAnsi="Times New Roman" w:cs="Times New Roman"/>
          <w:color w:val="FF0000"/>
          <w:sz w:val="24"/>
          <w:szCs w:val="24"/>
          <w:lang w:val="nb-NO"/>
        </w:rPr>
        <w:t xml:space="preserve"> dersom regionen tillater dette</w:t>
      </w:r>
      <w:commentRangeEnd w:id="7"/>
      <w:r w:rsidR="00AC026F">
        <w:rPr>
          <w:rStyle w:val="Merknadsreferanse"/>
        </w:rPr>
        <w:commentReference w:id="7"/>
      </w:r>
      <w:r w:rsidRPr="002C39B2">
        <w:rPr>
          <w:rFonts w:ascii="Times New Roman" w:eastAsia="Times New Roman" w:hAnsi="Times New Roman" w:cs="Times New Roman"/>
          <w:color w:val="FF0000"/>
          <w:sz w:val="24"/>
          <w:szCs w:val="24"/>
          <w:lang w:val="nb-NO"/>
        </w:rPr>
        <w:t xml:space="preserve">. </w:t>
      </w:r>
      <w:r w:rsidRPr="00BA3C3D">
        <w:rPr>
          <w:rFonts w:ascii="Times New Roman" w:eastAsia="Times New Roman" w:hAnsi="Times New Roman" w:cs="Times New Roman"/>
          <w:color w:val="444444"/>
          <w:sz w:val="24"/>
          <w:szCs w:val="24"/>
          <w:lang w:val="nb-NO"/>
        </w:rPr>
        <w:t xml:space="preserve">Spilleren må være medlem i begge berørte klubber og begge klubbene må akseptere representasjonen. </w:t>
      </w:r>
    </w:p>
    <w:p w14:paraId="383E883A" w14:textId="77777777" w:rsidR="00E627BF" w:rsidRPr="002A0E86" w:rsidRDefault="00E627BF">
      <w:pPr>
        <w:rPr>
          <w:color w:val="FF0000"/>
          <w:lang w:val="nb-NO"/>
        </w:rPr>
      </w:pPr>
    </w:p>
    <w:sectPr w:rsidR="00E627BF" w:rsidRPr="002A0E8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apstun, Svein" w:date="2023-11-29T14:07:00Z" w:initials="LS">
    <w:p w14:paraId="47B04E87" w14:textId="77777777" w:rsidR="00A12B2B" w:rsidRDefault="00A12B2B" w:rsidP="006F7CB4">
      <w:pPr>
        <w:pStyle w:val="Merknadstekst"/>
      </w:pPr>
      <w:r>
        <w:rPr>
          <w:rStyle w:val="Merknadsreferanse"/>
        </w:rPr>
        <w:annotationRef/>
      </w:r>
      <w:r>
        <w:t xml:space="preserve">Det åpnes opp for å sette inn reserver i kvalifiseringen i Grand Prix. </w:t>
      </w:r>
    </w:p>
  </w:comment>
  <w:comment w:id="2" w:author="Lapstun, Svein" w:date="2023-11-29T14:08:00Z" w:initials="LS">
    <w:p w14:paraId="095E2D74" w14:textId="77777777" w:rsidR="00C03E08" w:rsidRDefault="00D65794" w:rsidP="00C71877">
      <w:pPr>
        <w:pStyle w:val="Merknadstekst"/>
      </w:pPr>
      <w:r>
        <w:rPr>
          <w:rStyle w:val="Merknadsreferanse"/>
        </w:rPr>
        <w:annotationRef/>
      </w:r>
      <w:r w:rsidR="00C03E08">
        <w:t>Endring av navn på disse klassene iht § 7</w:t>
      </w:r>
    </w:p>
  </w:comment>
  <w:comment w:id="3" w:author="Lapstun, Svein" w:date="2023-11-29T13:52:00Z" w:initials="LS">
    <w:p w14:paraId="3D6B2BFA" w14:textId="6CD11DAB" w:rsidR="00721D03" w:rsidRDefault="00721D03" w:rsidP="00021945">
      <w:pPr>
        <w:pStyle w:val="Merknadstekst"/>
      </w:pPr>
      <w:r>
        <w:rPr>
          <w:rStyle w:val="Merknadsreferanse"/>
        </w:rPr>
        <w:annotationRef/>
      </w:r>
      <w:r>
        <w:t xml:space="preserve">Seeding i Landsturneringene fjernes. NTF ønsker ikke seeding i barneturneringer. </w:t>
      </w:r>
    </w:p>
  </w:comment>
  <w:comment w:id="5" w:author="Lapstun, Svein" w:date="2022-12-07T10:56:00Z" w:initials="LS">
    <w:p w14:paraId="23415861" w14:textId="77777777" w:rsidR="00845132" w:rsidRDefault="009679A1" w:rsidP="004E51B9">
      <w:pPr>
        <w:pStyle w:val="Merknadstekst"/>
      </w:pPr>
      <w:r>
        <w:rPr>
          <w:rStyle w:val="Merknadsreferanse"/>
        </w:rPr>
        <w:annotationRef/>
      </w:r>
      <w:r w:rsidR="00845132">
        <w:t>Ansvarliggjøring av klubbene.</w:t>
      </w:r>
    </w:p>
  </w:comment>
  <w:comment w:id="6" w:author="Lapstun, Svein" w:date="2023-12-01T12:12:00Z" w:initials="LS">
    <w:p w14:paraId="2730F70B" w14:textId="77777777" w:rsidR="00AC026F" w:rsidRDefault="00AC026F" w:rsidP="006F3CE2">
      <w:pPr>
        <w:pStyle w:val="Merknadstekst"/>
      </w:pPr>
      <w:r>
        <w:rPr>
          <w:rStyle w:val="Merknadsreferanse"/>
        </w:rPr>
        <w:annotationRef/>
      </w:r>
      <w:r>
        <w:t>Ikke nødvendig å ha vært medlem i 12 måneder</w:t>
      </w:r>
    </w:p>
  </w:comment>
  <w:comment w:id="7" w:author="Lapstun, Svein" w:date="2023-12-01T12:13:00Z" w:initials="LS">
    <w:p w14:paraId="3802A0EA" w14:textId="77777777" w:rsidR="00AC026F" w:rsidRDefault="00AC026F" w:rsidP="009B330D">
      <w:pPr>
        <w:pStyle w:val="Merknadstekst"/>
      </w:pPr>
      <w:r>
        <w:rPr>
          <w:rStyle w:val="Merknadsreferanse"/>
        </w:rPr>
        <w:annotationRef/>
      </w:r>
      <w:r>
        <w:t xml:space="preserve">Presisering.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B04E87" w15:done="0"/>
  <w15:commentEx w15:paraId="095E2D74" w15:done="0"/>
  <w15:commentEx w15:paraId="3D6B2BFA" w15:done="0"/>
  <w15:commentEx w15:paraId="23415861" w15:done="0"/>
  <w15:commentEx w15:paraId="2730F70B" w15:done="0"/>
  <w15:commentEx w15:paraId="3802A0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8B91F88" w16cex:dateUtc="2023-11-29T13:07:00Z"/>
  <w16cex:commentExtensible w16cex:durableId="188987A9" w16cex:dateUtc="2023-11-29T13:08:00Z"/>
  <w16cex:commentExtensible w16cex:durableId="0739F147" w16cex:dateUtc="2023-11-29T12:52:00Z"/>
  <w16cex:commentExtensible w16cex:durableId="273AEFE6" w16cex:dateUtc="2022-12-07T09:56:00Z"/>
  <w16cex:commentExtensible w16cex:durableId="5E1B833D" w16cex:dateUtc="2023-12-01T11:12:00Z"/>
  <w16cex:commentExtensible w16cex:durableId="6FC50796" w16cex:dateUtc="2023-12-01T1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B04E87" w16cid:durableId="58B91F88"/>
  <w16cid:commentId w16cid:paraId="095E2D74" w16cid:durableId="188987A9"/>
  <w16cid:commentId w16cid:paraId="3D6B2BFA" w16cid:durableId="0739F147"/>
  <w16cid:commentId w16cid:paraId="23415861" w16cid:durableId="273AEFE6"/>
  <w16cid:commentId w16cid:paraId="2730F70B" w16cid:durableId="5E1B833D"/>
  <w16cid:commentId w16cid:paraId="3802A0EA" w16cid:durableId="6FC5079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pstun, Svein">
    <w15:presenceInfo w15:providerId="AD" w15:userId="S::Svein.Lapstun@tennis.no::156e8c98-1794-4473-bba3-b08317184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09"/>
    <w:rsid w:val="00046B4B"/>
    <w:rsid w:val="000B562C"/>
    <w:rsid w:val="00281DA8"/>
    <w:rsid w:val="00295294"/>
    <w:rsid w:val="002A0E86"/>
    <w:rsid w:val="002C39B2"/>
    <w:rsid w:val="002D5480"/>
    <w:rsid w:val="002E4BA7"/>
    <w:rsid w:val="00311FC5"/>
    <w:rsid w:val="003D0FEB"/>
    <w:rsid w:val="003E1D98"/>
    <w:rsid w:val="00424287"/>
    <w:rsid w:val="00441EC7"/>
    <w:rsid w:val="004919BA"/>
    <w:rsid w:val="004A1E4D"/>
    <w:rsid w:val="004F18F7"/>
    <w:rsid w:val="00571DF6"/>
    <w:rsid w:val="00625B92"/>
    <w:rsid w:val="006571A4"/>
    <w:rsid w:val="006F79A6"/>
    <w:rsid w:val="00721D03"/>
    <w:rsid w:val="0081180C"/>
    <w:rsid w:val="00845132"/>
    <w:rsid w:val="0086018C"/>
    <w:rsid w:val="00861F54"/>
    <w:rsid w:val="008A0A48"/>
    <w:rsid w:val="008F19F6"/>
    <w:rsid w:val="0090099D"/>
    <w:rsid w:val="00951C09"/>
    <w:rsid w:val="009679A1"/>
    <w:rsid w:val="009732EF"/>
    <w:rsid w:val="009E3A42"/>
    <w:rsid w:val="00A12B2B"/>
    <w:rsid w:val="00A56B71"/>
    <w:rsid w:val="00A77A1F"/>
    <w:rsid w:val="00AB3EE6"/>
    <w:rsid w:val="00AC026F"/>
    <w:rsid w:val="00B80D0E"/>
    <w:rsid w:val="00B95868"/>
    <w:rsid w:val="00C03E08"/>
    <w:rsid w:val="00C23CFF"/>
    <w:rsid w:val="00D13516"/>
    <w:rsid w:val="00D23DE8"/>
    <w:rsid w:val="00D47EB5"/>
    <w:rsid w:val="00D65794"/>
    <w:rsid w:val="00D721DF"/>
    <w:rsid w:val="00D93262"/>
    <w:rsid w:val="00E627BF"/>
    <w:rsid w:val="00EC4987"/>
    <w:rsid w:val="00EF082D"/>
    <w:rsid w:val="00FF39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2D40"/>
  <w15:chartTrackingRefBased/>
  <w15:docId w15:val="{99CF6E0E-BEFB-4AFA-B47B-C5C9F2E0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C09"/>
    <w:pPr>
      <w:spacing w:after="200" w:line="276" w:lineRule="auto"/>
    </w:pPr>
    <w:rPr>
      <w:lang w:val="en-US"/>
    </w:rPr>
  </w:style>
  <w:style w:type="paragraph" w:styleId="Overskrift2">
    <w:name w:val="heading 2"/>
    <w:basedOn w:val="Normal"/>
    <w:next w:val="Normal"/>
    <w:link w:val="Overskrift2Tegn"/>
    <w:uiPriority w:val="9"/>
    <w:unhideWhenUsed/>
    <w:qFormat/>
    <w:rsid w:val="00951C09"/>
    <w:pPr>
      <w:keepNext/>
      <w:keepLines/>
      <w:spacing w:before="200" w:after="0"/>
      <w:outlineLvl w:val="1"/>
    </w:pPr>
    <w:rPr>
      <w:rFonts w:asciiTheme="majorHAnsi" w:eastAsiaTheme="majorEastAsia" w:hAnsiTheme="majorHAnsi" w:cstheme="majorBidi"/>
      <w:b/>
      <w:bCs/>
      <w:sz w:val="24"/>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951C09"/>
    <w:rPr>
      <w:rFonts w:asciiTheme="majorHAnsi" w:eastAsiaTheme="majorEastAsia" w:hAnsiTheme="majorHAnsi" w:cstheme="majorBidi"/>
      <w:b/>
      <w:bCs/>
      <w:sz w:val="24"/>
      <w:szCs w:val="26"/>
      <w:lang w:val="en-US"/>
    </w:rPr>
  </w:style>
  <w:style w:type="character" w:styleId="Merknadsreferanse">
    <w:name w:val="annotation reference"/>
    <w:basedOn w:val="Standardskriftforavsnitt"/>
    <w:uiPriority w:val="99"/>
    <w:semiHidden/>
    <w:unhideWhenUsed/>
    <w:rsid w:val="009679A1"/>
    <w:rPr>
      <w:sz w:val="16"/>
      <w:szCs w:val="16"/>
    </w:rPr>
  </w:style>
  <w:style w:type="paragraph" w:styleId="Merknadstekst">
    <w:name w:val="annotation text"/>
    <w:basedOn w:val="Normal"/>
    <w:link w:val="MerknadstekstTegn"/>
    <w:uiPriority w:val="99"/>
    <w:unhideWhenUsed/>
    <w:rsid w:val="009679A1"/>
    <w:pPr>
      <w:spacing w:line="240" w:lineRule="auto"/>
    </w:pPr>
    <w:rPr>
      <w:sz w:val="20"/>
      <w:szCs w:val="20"/>
    </w:rPr>
  </w:style>
  <w:style w:type="character" w:customStyle="1" w:styleId="MerknadstekstTegn">
    <w:name w:val="Merknadstekst Tegn"/>
    <w:basedOn w:val="Standardskriftforavsnitt"/>
    <w:link w:val="Merknadstekst"/>
    <w:uiPriority w:val="99"/>
    <w:rsid w:val="009679A1"/>
    <w:rPr>
      <w:sz w:val="20"/>
      <w:szCs w:val="20"/>
      <w:lang w:val="en-US"/>
    </w:rPr>
  </w:style>
  <w:style w:type="paragraph" w:styleId="Kommentaremne">
    <w:name w:val="annotation subject"/>
    <w:basedOn w:val="Merknadstekst"/>
    <w:next w:val="Merknadstekst"/>
    <w:link w:val="KommentaremneTegn"/>
    <w:uiPriority w:val="99"/>
    <w:semiHidden/>
    <w:unhideWhenUsed/>
    <w:rsid w:val="009679A1"/>
    <w:rPr>
      <w:b/>
      <w:bCs/>
    </w:rPr>
  </w:style>
  <w:style w:type="character" w:customStyle="1" w:styleId="KommentaremneTegn">
    <w:name w:val="Kommentaremne Tegn"/>
    <w:basedOn w:val="MerknadstekstTegn"/>
    <w:link w:val="Kommentaremne"/>
    <w:uiPriority w:val="99"/>
    <w:semiHidden/>
    <w:rsid w:val="009679A1"/>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764</Words>
  <Characters>4054</Characters>
  <Application>Microsoft Office Word</Application>
  <DocSecurity>0</DocSecurity>
  <Lines>33</Lines>
  <Paragraphs>9</Paragraphs>
  <ScaleCrop>false</ScaleCrop>
  <Company>Norges Idrettsforbund</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Lapstun, Svein</dc:creator>
  <cp:keywords/>
  <dc:description/>
  <cp:lastModifiedBy>Lapstun, Svein</cp:lastModifiedBy>
  <cp:revision>48</cp:revision>
  <dcterms:created xsi:type="dcterms:W3CDTF">2022-12-07T09:52:00Z</dcterms:created>
  <dcterms:modified xsi:type="dcterms:W3CDTF">2024-01-03T11:37:00Z</dcterms:modified>
</cp:coreProperties>
</file>